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06795D" w:rsidRDefault="002E2529" w:rsidP="00543FBC">
      <w:pPr>
        <w:jc w:val="center"/>
        <w:rPr>
          <w:rFonts w:cs="Times New Roman"/>
          <w:b/>
          <w:szCs w:val="24"/>
        </w:rPr>
      </w:pPr>
      <w:r w:rsidRPr="0006795D">
        <w:rPr>
          <w:rFonts w:cs="Times New Roman"/>
          <w:b/>
          <w:szCs w:val="24"/>
        </w:rPr>
        <w:t>United States Law</w:t>
      </w:r>
    </w:p>
    <w:p w:rsidR="00543FBC" w:rsidRPr="0006795D" w:rsidRDefault="00543FBC" w:rsidP="00543FBC">
      <w:pPr>
        <w:jc w:val="center"/>
        <w:rPr>
          <w:rFonts w:cs="Times New Roman"/>
          <w:b/>
          <w:szCs w:val="24"/>
        </w:rPr>
      </w:pPr>
    </w:p>
    <w:p w:rsidR="00543FBC" w:rsidRPr="0006795D" w:rsidRDefault="00543FBC" w:rsidP="00543FBC">
      <w:pPr>
        <w:jc w:val="center"/>
        <w:rPr>
          <w:rFonts w:cs="Times New Roman"/>
          <w:b/>
          <w:szCs w:val="24"/>
        </w:rPr>
      </w:pPr>
    </w:p>
    <w:p w:rsidR="00543FBC" w:rsidRPr="0006795D" w:rsidRDefault="002E2529" w:rsidP="00543FBC">
      <w:pPr>
        <w:jc w:val="center"/>
        <w:rPr>
          <w:rFonts w:cs="Times New Roman"/>
          <w:szCs w:val="24"/>
        </w:rPr>
      </w:pPr>
      <w:r w:rsidRPr="0006795D">
        <w:rPr>
          <w:rFonts w:cs="Times New Roman"/>
          <w:szCs w:val="24"/>
        </w:rPr>
        <w:t xml:space="preserve">Name </w:t>
      </w:r>
    </w:p>
    <w:p w:rsidR="00543FBC" w:rsidRPr="0006795D" w:rsidRDefault="002E2529" w:rsidP="00543FBC">
      <w:pPr>
        <w:jc w:val="center"/>
        <w:rPr>
          <w:rFonts w:cs="Times New Roman"/>
          <w:szCs w:val="24"/>
        </w:rPr>
      </w:pPr>
      <w:r w:rsidRPr="0006795D">
        <w:rPr>
          <w:rFonts w:cs="Times New Roman"/>
          <w:szCs w:val="24"/>
        </w:rPr>
        <w:t>Affiliation</w:t>
      </w:r>
    </w:p>
    <w:p w:rsidR="00543FBC" w:rsidRPr="0006795D" w:rsidRDefault="002E2529" w:rsidP="00543FBC">
      <w:pPr>
        <w:jc w:val="center"/>
        <w:rPr>
          <w:rFonts w:cs="Times New Roman"/>
          <w:szCs w:val="24"/>
        </w:rPr>
      </w:pPr>
      <w:r w:rsidRPr="0006795D">
        <w:rPr>
          <w:rFonts w:cs="Times New Roman"/>
          <w:szCs w:val="24"/>
        </w:rPr>
        <w:t>Date</w:t>
      </w: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543FBC" w:rsidP="00543FBC">
      <w:pPr>
        <w:jc w:val="center"/>
        <w:rPr>
          <w:rFonts w:cs="Times New Roman"/>
          <w:szCs w:val="24"/>
        </w:rPr>
      </w:pPr>
    </w:p>
    <w:p w:rsidR="00543FBC" w:rsidRPr="0006795D" w:rsidRDefault="002E2529" w:rsidP="00543FBC">
      <w:pPr>
        <w:jc w:val="center"/>
        <w:rPr>
          <w:rFonts w:cs="Times New Roman"/>
          <w:b/>
          <w:szCs w:val="24"/>
        </w:rPr>
      </w:pPr>
      <w:r w:rsidRPr="0006795D">
        <w:rPr>
          <w:rFonts w:cs="Times New Roman"/>
          <w:b/>
          <w:szCs w:val="24"/>
        </w:rPr>
        <w:t>United States Law</w:t>
      </w:r>
    </w:p>
    <w:p w:rsidR="00543FBC" w:rsidRPr="0006795D" w:rsidRDefault="002E2529" w:rsidP="00543FBC">
      <w:pPr>
        <w:rPr>
          <w:rFonts w:cs="Times New Roman"/>
          <w:b/>
          <w:szCs w:val="24"/>
        </w:rPr>
      </w:pPr>
      <w:r w:rsidRPr="0006795D">
        <w:rPr>
          <w:rFonts w:cs="Times New Roman"/>
          <w:b/>
          <w:szCs w:val="24"/>
        </w:rPr>
        <w:lastRenderedPageBreak/>
        <w:t>Question One</w:t>
      </w:r>
    </w:p>
    <w:p w:rsidR="00543FBC" w:rsidRPr="0006795D" w:rsidRDefault="002E2529" w:rsidP="00543FBC">
      <w:pPr>
        <w:rPr>
          <w:rFonts w:cs="Times New Roman"/>
          <w:szCs w:val="24"/>
        </w:rPr>
      </w:pPr>
      <w:r w:rsidRPr="0006795D">
        <w:rPr>
          <w:rFonts w:cs="Times New Roman"/>
          <w:b/>
          <w:szCs w:val="24"/>
        </w:rPr>
        <w:tab/>
      </w:r>
      <w:r w:rsidRPr="0006795D">
        <w:rPr>
          <w:rFonts w:cs="Times New Roman"/>
          <w:szCs w:val="24"/>
        </w:rPr>
        <w:t xml:space="preserve">Congress should pass fewer laws than it currently does since the </w:t>
      </w:r>
      <w:r w:rsidR="0060395D" w:rsidRPr="0006795D">
        <w:rPr>
          <w:rFonts w:cs="Times New Roman"/>
          <w:szCs w:val="24"/>
        </w:rPr>
        <w:t>proportion</w:t>
      </w:r>
      <w:r w:rsidRPr="0006795D">
        <w:rPr>
          <w:rFonts w:cs="Times New Roman"/>
          <w:szCs w:val="24"/>
        </w:rPr>
        <w:t xml:space="preserve"> of ceremonial to substantive legislation is the </w:t>
      </w:r>
      <w:r w:rsidR="0060395D" w:rsidRPr="0006795D">
        <w:rPr>
          <w:rFonts w:cs="Times New Roman"/>
          <w:szCs w:val="24"/>
        </w:rPr>
        <w:t>same. This ceremonial party measures include the 109 that renamed courthouses. Substantive laws are simply anything that authorizes or makes changes to the spending of taxpayer dollars</w:t>
      </w:r>
      <w:r w:rsidR="0006795D" w:rsidRPr="0006795D">
        <w:rPr>
          <w:rFonts w:cs="Times New Roman"/>
          <w:szCs w:val="24"/>
        </w:rPr>
        <w:t xml:space="preserve"> </w:t>
      </w:r>
      <w:r w:rsidR="0006795D" w:rsidRPr="0006795D">
        <w:rPr>
          <w:rFonts w:cs="Times New Roman"/>
          <w:szCs w:val="24"/>
          <w:shd w:val="clear" w:color="auto" w:fill="FFFFFF"/>
        </w:rPr>
        <w:t>(Epstein &amp; Lindquist, 2017)</w:t>
      </w:r>
      <w:r w:rsidR="0060395D" w:rsidRPr="0006795D">
        <w:rPr>
          <w:rFonts w:cs="Times New Roman"/>
          <w:szCs w:val="24"/>
        </w:rPr>
        <w:t>. The 115</w:t>
      </w:r>
      <w:r w:rsidR="0060395D" w:rsidRPr="0006795D">
        <w:rPr>
          <w:rFonts w:cs="Times New Roman"/>
          <w:szCs w:val="24"/>
          <w:vertAlign w:val="superscript"/>
        </w:rPr>
        <w:t>th</w:t>
      </w:r>
      <w:r w:rsidR="0060395D" w:rsidRPr="0006795D">
        <w:rPr>
          <w:rFonts w:cs="Times New Roman"/>
          <w:szCs w:val="24"/>
        </w:rPr>
        <w:t xml:space="preserve"> Congress has passed less than six appropriation bills in both different packages. There is also the party's inability and the president to agree on temporary funding measures leading to a partial shutdown of the state. </w:t>
      </w:r>
    </w:p>
    <w:p w:rsidR="0060395D" w:rsidRPr="0006795D" w:rsidRDefault="002E2529" w:rsidP="00543FBC">
      <w:pPr>
        <w:rPr>
          <w:rFonts w:cs="Times New Roman"/>
          <w:b/>
          <w:szCs w:val="24"/>
        </w:rPr>
      </w:pPr>
      <w:r w:rsidRPr="0006795D">
        <w:rPr>
          <w:rFonts w:cs="Times New Roman"/>
          <w:b/>
          <w:szCs w:val="24"/>
        </w:rPr>
        <w:t>Question Two</w:t>
      </w:r>
    </w:p>
    <w:p w:rsidR="00543FBC" w:rsidRPr="0006795D" w:rsidRDefault="002E2529" w:rsidP="00543FBC">
      <w:pPr>
        <w:rPr>
          <w:rFonts w:cs="Times New Roman"/>
          <w:szCs w:val="24"/>
        </w:rPr>
      </w:pPr>
      <w:r w:rsidRPr="0006795D">
        <w:rPr>
          <w:rFonts w:cs="Times New Roman"/>
          <w:b/>
          <w:szCs w:val="24"/>
        </w:rPr>
        <w:tab/>
      </w:r>
      <w:r w:rsidR="00C51A4D" w:rsidRPr="0006795D">
        <w:rPr>
          <w:rFonts w:cs="Times New Roman"/>
          <w:szCs w:val="24"/>
        </w:rPr>
        <w:t>I trust government corporations to get things done due to its functions of assisting Congress in overseeing activities. They are government agencies that are established to provide a market leaning public service. They are also mandated to produce revenues that approximate or meet congress expenditures</w:t>
      </w:r>
      <w:r w:rsidR="0006795D" w:rsidRPr="0006795D">
        <w:rPr>
          <w:rFonts w:cs="Times New Roman"/>
          <w:szCs w:val="24"/>
        </w:rPr>
        <w:t xml:space="preserve"> </w:t>
      </w:r>
      <w:r w:rsidR="0006795D" w:rsidRPr="0006795D">
        <w:rPr>
          <w:rFonts w:cs="Times New Roman"/>
          <w:szCs w:val="24"/>
          <w:shd w:val="clear" w:color="auto" w:fill="FFFFFF"/>
        </w:rPr>
        <w:t>(CIEPLEY, 2017)</w:t>
      </w:r>
      <w:r w:rsidR="00C51A4D" w:rsidRPr="0006795D">
        <w:rPr>
          <w:rFonts w:cs="Times New Roman"/>
          <w:szCs w:val="24"/>
        </w:rPr>
        <w:t>.</w:t>
      </w:r>
    </w:p>
    <w:p w:rsidR="00C51A4D" w:rsidRPr="0006795D" w:rsidRDefault="002E2529" w:rsidP="00543FBC">
      <w:pPr>
        <w:rPr>
          <w:rFonts w:cs="Times New Roman"/>
          <w:b/>
          <w:szCs w:val="24"/>
        </w:rPr>
      </w:pPr>
      <w:r w:rsidRPr="0006795D">
        <w:rPr>
          <w:rFonts w:cs="Times New Roman"/>
          <w:b/>
          <w:szCs w:val="24"/>
        </w:rPr>
        <w:t>Question Three</w:t>
      </w:r>
    </w:p>
    <w:p w:rsidR="00C51A4D" w:rsidRPr="0006795D" w:rsidRDefault="002E2529" w:rsidP="00543FBC">
      <w:pPr>
        <w:rPr>
          <w:rFonts w:cs="Times New Roman"/>
          <w:szCs w:val="24"/>
        </w:rPr>
      </w:pPr>
      <w:r w:rsidRPr="0006795D">
        <w:rPr>
          <w:rFonts w:cs="Times New Roman"/>
          <w:b/>
          <w:szCs w:val="24"/>
        </w:rPr>
        <w:tab/>
      </w:r>
      <w:r w:rsidRPr="0006795D">
        <w:rPr>
          <w:rFonts w:cs="Times New Roman"/>
          <w:szCs w:val="24"/>
        </w:rPr>
        <w:t>Redistricting allows incumb</w:t>
      </w:r>
      <w:r w:rsidR="00D652C2" w:rsidRPr="0006795D">
        <w:rPr>
          <w:rFonts w:cs="Times New Roman"/>
          <w:szCs w:val="24"/>
        </w:rPr>
        <w:t>ent politicians to partisan all</w:t>
      </w:r>
      <w:r w:rsidRPr="0006795D">
        <w:rPr>
          <w:rFonts w:cs="Times New Roman"/>
          <w:szCs w:val="24"/>
        </w:rPr>
        <w:t>i</w:t>
      </w:r>
      <w:r w:rsidR="00D652C2" w:rsidRPr="0006795D">
        <w:rPr>
          <w:rFonts w:cs="Times New Roman"/>
          <w:szCs w:val="24"/>
        </w:rPr>
        <w:t>e</w:t>
      </w:r>
      <w:r w:rsidRPr="0006795D">
        <w:rPr>
          <w:rFonts w:cs="Times New Roman"/>
          <w:szCs w:val="24"/>
        </w:rPr>
        <w:t xml:space="preserve">s and chooses their voters, thus encouraging </w:t>
      </w:r>
      <w:r w:rsidR="00D652C2" w:rsidRPr="0006795D">
        <w:rPr>
          <w:rFonts w:cs="Times New Roman"/>
          <w:szCs w:val="24"/>
        </w:rPr>
        <w:t>manipulation. Some of the strategies involved in redistricting include allocating voters among districts that a party controls, dividing a state into legislative districts, and representing specific communities</w:t>
      </w:r>
      <w:r w:rsidR="0006795D" w:rsidRPr="0006795D">
        <w:rPr>
          <w:rFonts w:cs="Times New Roman"/>
          <w:szCs w:val="24"/>
          <w:shd w:val="clear" w:color="auto" w:fill="FFFFFF"/>
        </w:rPr>
        <w:t xml:space="preserve"> (Webster, 2013)</w:t>
      </w:r>
      <w:r w:rsidR="00D652C2" w:rsidRPr="0006795D">
        <w:rPr>
          <w:rFonts w:cs="Times New Roman"/>
          <w:szCs w:val="24"/>
        </w:rPr>
        <w:t>.</w:t>
      </w:r>
    </w:p>
    <w:p w:rsidR="00D11E61" w:rsidRPr="0006795D" w:rsidRDefault="002E2529" w:rsidP="00543FBC">
      <w:pPr>
        <w:rPr>
          <w:rFonts w:cs="Times New Roman"/>
          <w:b/>
          <w:szCs w:val="24"/>
        </w:rPr>
      </w:pPr>
      <w:r w:rsidRPr="0006795D">
        <w:rPr>
          <w:rFonts w:cs="Times New Roman"/>
          <w:b/>
          <w:szCs w:val="24"/>
        </w:rPr>
        <w:t>Part2 1</w:t>
      </w:r>
    </w:p>
    <w:p w:rsidR="00D11E61" w:rsidRPr="0006795D" w:rsidRDefault="002E2529" w:rsidP="00543FBC">
      <w:pPr>
        <w:rPr>
          <w:rFonts w:cs="Times New Roman"/>
          <w:szCs w:val="24"/>
        </w:rPr>
      </w:pPr>
      <w:r w:rsidRPr="0006795D">
        <w:rPr>
          <w:rFonts w:cs="Times New Roman"/>
          <w:b/>
          <w:szCs w:val="24"/>
        </w:rPr>
        <w:tab/>
      </w:r>
      <w:r w:rsidRPr="0006795D">
        <w:rPr>
          <w:rFonts w:cs="Times New Roman"/>
          <w:szCs w:val="24"/>
        </w:rPr>
        <w:t xml:space="preserve">Judicial opinions cause the prominence state of the </w:t>
      </w:r>
      <w:r w:rsidR="001547DB" w:rsidRPr="0006795D">
        <w:rPr>
          <w:rFonts w:cs="Times New Roman"/>
          <w:szCs w:val="24"/>
        </w:rPr>
        <w:t xml:space="preserve">Supreme Court. Although some of the Supreme Court decisions are divided, the explanation and majority opinion on tight cases. The chief justice also recedes on government issues, and he decides who among the judicial judges </w:t>
      </w:r>
      <w:r w:rsidR="001547DB" w:rsidRPr="0006795D">
        <w:rPr>
          <w:rFonts w:cs="Times New Roman"/>
          <w:szCs w:val="24"/>
        </w:rPr>
        <w:lastRenderedPageBreak/>
        <w:t>will write the opinion. Typically court decisions are released frequently during the court's term, but supreme debated and controversial cases decisions are released at the end of the term.</w:t>
      </w:r>
    </w:p>
    <w:p w:rsidR="00FC7705" w:rsidRPr="0006795D" w:rsidRDefault="002E2529" w:rsidP="001547DB">
      <w:pPr>
        <w:rPr>
          <w:rFonts w:cs="Times New Roman"/>
          <w:b/>
          <w:szCs w:val="24"/>
        </w:rPr>
      </w:pPr>
      <w:r w:rsidRPr="0006795D">
        <w:rPr>
          <w:rFonts w:cs="Times New Roman"/>
          <w:b/>
          <w:szCs w:val="24"/>
        </w:rPr>
        <w:t>Part2 2</w:t>
      </w:r>
    </w:p>
    <w:p w:rsidR="00FC7705" w:rsidRPr="0006795D" w:rsidRDefault="002E2529" w:rsidP="001547DB">
      <w:pPr>
        <w:rPr>
          <w:rFonts w:cs="Times New Roman"/>
          <w:szCs w:val="24"/>
        </w:rPr>
      </w:pPr>
      <w:r w:rsidRPr="0006795D">
        <w:rPr>
          <w:rFonts w:cs="Times New Roman"/>
          <w:b/>
          <w:szCs w:val="24"/>
        </w:rPr>
        <w:tab/>
      </w:r>
      <w:r w:rsidRPr="0006795D">
        <w:rPr>
          <w:rFonts w:cs="Times New Roman"/>
          <w:szCs w:val="24"/>
        </w:rPr>
        <w:t xml:space="preserve">Citizens should have the overall decision to vote through party identification. This action refers to a political party that an individual identifies and votes for it. The three parts of the political party include party as government, party as an electorate, and </w:t>
      </w:r>
      <w:r w:rsidR="008C236B" w:rsidRPr="0006795D">
        <w:rPr>
          <w:rFonts w:cs="Times New Roman"/>
          <w:szCs w:val="24"/>
        </w:rPr>
        <w:t>organization party. In contrast, our decision impacts with regards to constitutional principle focus on justiciability.</w:t>
      </w:r>
    </w:p>
    <w:p w:rsidR="008C236B" w:rsidRPr="0006795D" w:rsidRDefault="002E2529" w:rsidP="008C236B">
      <w:pPr>
        <w:rPr>
          <w:rFonts w:cs="Times New Roman"/>
          <w:b/>
          <w:szCs w:val="24"/>
        </w:rPr>
      </w:pPr>
      <w:r w:rsidRPr="0006795D">
        <w:rPr>
          <w:rFonts w:cs="Times New Roman"/>
          <w:b/>
          <w:szCs w:val="24"/>
        </w:rPr>
        <w:t>Part2 3</w:t>
      </w:r>
    </w:p>
    <w:p w:rsidR="008C236B" w:rsidRPr="0006795D" w:rsidRDefault="002E2529" w:rsidP="008C236B">
      <w:pPr>
        <w:rPr>
          <w:rFonts w:cs="Times New Roman"/>
          <w:szCs w:val="24"/>
        </w:rPr>
      </w:pPr>
      <w:r w:rsidRPr="0006795D">
        <w:rPr>
          <w:rFonts w:cs="Times New Roman"/>
          <w:b/>
          <w:szCs w:val="24"/>
        </w:rPr>
        <w:tab/>
      </w:r>
      <w:r w:rsidRPr="0006795D">
        <w:rPr>
          <w:rFonts w:cs="Times New Roman"/>
          <w:szCs w:val="24"/>
        </w:rPr>
        <w:t xml:space="preserve">Judges should not be elected but appointed. There are several reasons for judges' appointment, including adverse effects on judicial fairness and can also result in the weakening of part of the </w:t>
      </w:r>
      <w:r w:rsidR="00E1172B" w:rsidRPr="0006795D">
        <w:rPr>
          <w:rFonts w:cs="Times New Roman"/>
          <w:szCs w:val="24"/>
        </w:rPr>
        <w:t>economy. Lastly</w:t>
      </w:r>
      <w:r w:rsidRPr="0006795D">
        <w:rPr>
          <w:rFonts w:cs="Times New Roman"/>
          <w:szCs w:val="24"/>
        </w:rPr>
        <w:t xml:space="preserve">, the election of </w:t>
      </w:r>
      <w:r w:rsidR="00E1172B" w:rsidRPr="0006795D">
        <w:rPr>
          <w:rFonts w:cs="Times New Roman"/>
          <w:szCs w:val="24"/>
        </w:rPr>
        <w:t>judges</w:t>
      </w:r>
      <w:r w:rsidRPr="0006795D">
        <w:rPr>
          <w:rFonts w:cs="Times New Roman"/>
          <w:szCs w:val="24"/>
        </w:rPr>
        <w:t xml:space="preserve"> interferes with the neutrality </w:t>
      </w:r>
      <w:r w:rsidR="00E1172B" w:rsidRPr="0006795D">
        <w:rPr>
          <w:rFonts w:cs="Times New Roman"/>
          <w:szCs w:val="24"/>
        </w:rPr>
        <w:t>on the judicial bench</w:t>
      </w:r>
      <w:r w:rsidR="0006795D" w:rsidRPr="0006795D">
        <w:rPr>
          <w:rFonts w:cs="Times New Roman"/>
          <w:szCs w:val="24"/>
          <w:shd w:val="clear" w:color="auto" w:fill="FFFFFF"/>
        </w:rPr>
        <w:t xml:space="preserve"> (Peters, 2017)</w:t>
      </w:r>
      <w:r w:rsidR="00E1172B" w:rsidRPr="0006795D">
        <w:rPr>
          <w:rFonts w:cs="Times New Roman"/>
          <w:szCs w:val="24"/>
        </w:rPr>
        <w:t>.</w:t>
      </w:r>
    </w:p>
    <w:p w:rsidR="008C236B" w:rsidRPr="0006795D" w:rsidRDefault="002E2529" w:rsidP="008C236B">
      <w:pPr>
        <w:rPr>
          <w:rFonts w:cs="Times New Roman"/>
          <w:b/>
          <w:szCs w:val="24"/>
        </w:rPr>
      </w:pPr>
      <w:r w:rsidRPr="0006795D">
        <w:rPr>
          <w:rFonts w:cs="Times New Roman"/>
          <w:b/>
          <w:szCs w:val="24"/>
        </w:rPr>
        <w:tab/>
      </w:r>
    </w:p>
    <w:p w:rsidR="0006795D" w:rsidRPr="0006795D" w:rsidRDefault="0006795D" w:rsidP="008C236B">
      <w:pPr>
        <w:rPr>
          <w:rFonts w:cs="Times New Roman"/>
          <w:b/>
          <w:szCs w:val="24"/>
        </w:rPr>
      </w:pPr>
    </w:p>
    <w:p w:rsidR="0006795D" w:rsidRPr="0006795D" w:rsidRDefault="0006795D" w:rsidP="008C236B">
      <w:pPr>
        <w:rPr>
          <w:rFonts w:cs="Times New Roman"/>
          <w:b/>
          <w:szCs w:val="24"/>
        </w:rPr>
      </w:pPr>
    </w:p>
    <w:p w:rsidR="0006795D" w:rsidRPr="0006795D" w:rsidRDefault="0006795D" w:rsidP="008C236B">
      <w:pPr>
        <w:rPr>
          <w:rFonts w:cs="Times New Roman"/>
          <w:b/>
          <w:szCs w:val="24"/>
        </w:rPr>
      </w:pPr>
    </w:p>
    <w:p w:rsidR="0006795D" w:rsidRPr="0006795D" w:rsidRDefault="0006795D" w:rsidP="008C236B">
      <w:pPr>
        <w:rPr>
          <w:rFonts w:cs="Times New Roman"/>
          <w:b/>
          <w:szCs w:val="24"/>
        </w:rPr>
      </w:pPr>
    </w:p>
    <w:p w:rsidR="0006795D" w:rsidRPr="0006795D" w:rsidRDefault="0006795D" w:rsidP="008C236B">
      <w:pPr>
        <w:rPr>
          <w:rFonts w:cs="Times New Roman"/>
          <w:b/>
          <w:szCs w:val="24"/>
        </w:rPr>
      </w:pPr>
    </w:p>
    <w:p w:rsidR="0006795D" w:rsidRPr="0006795D" w:rsidRDefault="0006795D" w:rsidP="008C236B">
      <w:pPr>
        <w:rPr>
          <w:rFonts w:cs="Times New Roman"/>
          <w:b/>
          <w:szCs w:val="24"/>
        </w:rPr>
      </w:pPr>
    </w:p>
    <w:p w:rsidR="0006795D" w:rsidRPr="0006795D" w:rsidRDefault="0006795D" w:rsidP="0006795D">
      <w:pPr>
        <w:shd w:val="clear" w:color="auto" w:fill="FFFFFF"/>
        <w:spacing w:after="0" w:line="240" w:lineRule="auto"/>
        <w:jc w:val="center"/>
        <w:rPr>
          <w:rFonts w:eastAsia="Times New Roman" w:cs="Times New Roman"/>
          <w:szCs w:val="24"/>
        </w:rPr>
      </w:pPr>
      <w:r w:rsidRPr="0006795D">
        <w:rPr>
          <w:rFonts w:eastAsia="Times New Roman" w:cs="Times New Roman"/>
          <w:szCs w:val="24"/>
        </w:rPr>
        <w:t>References</w:t>
      </w:r>
    </w:p>
    <w:p w:rsidR="0006795D" w:rsidRPr="0006795D" w:rsidRDefault="0006795D" w:rsidP="0006795D">
      <w:pPr>
        <w:shd w:val="clear" w:color="auto" w:fill="FFFFFF"/>
        <w:spacing w:after="0" w:line="550" w:lineRule="atLeast"/>
        <w:ind w:left="720" w:right="75" w:hanging="720"/>
        <w:rPr>
          <w:rFonts w:eastAsia="Times New Roman" w:cs="Times New Roman"/>
          <w:szCs w:val="24"/>
        </w:rPr>
      </w:pPr>
      <w:r w:rsidRPr="0006795D">
        <w:rPr>
          <w:rFonts w:eastAsia="Times New Roman" w:cs="Times New Roman"/>
          <w:szCs w:val="24"/>
        </w:rPr>
        <w:lastRenderedPageBreak/>
        <w:t>CIEPLEY, D. (2017). Is the U.S. government a corporation? The corporate origins of modern constitutionalism. </w:t>
      </w:r>
      <w:r w:rsidRPr="0006795D">
        <w:rPr>
          <w:rFonts w:eastAsia="Times New Roman" w:cs="Times New Roman"/>
          <w:i/>
          <w:iCs/>
          <w:szCs w:val="24"/>
        </w:rPr>
        <w:t>American Political Science Review</w:t>
      </w:r>
      <w:r w:rsidRPr="0006795D">
        <w:rPr>
          <w:rFonts w:eastAsia="Times New Roman" w:cs="Times New Roman"/>
          <w:szCs w:val="24"/>
        </w:rPr>
        <w:t>, </w:t>
      </w:r>
      <w:r w:rsidRPr="0006795D">
        <w:rPr>
          <w:rFonts w:eastAsia="Times New Roman" w:cs="Times New Roman"/>
          <w:i/>
          <w:iCs/>
          <w:szCs w:val="24"/>
        </w:rPr>
        <w:t>111</w:t>
      </w:r>
      <w:r w:rsidRPr="0006795D">
        <w:rPr>
          <w:rFonts w:eastAsia="Times New Roman" w:cs="Times New Roman"/>
          <w:szCs w:val="24"/>
        </w:rPr>
        <w:t>(2), 418-435. </w:t>
      </w:r>
      <w:hyperlink r:id="rId6" w:history="1">
        <w:r w:rsidRPr="0006795D">
          <w:rPr>
            <w:rFonts w:eastAsia="Times New Roman" w:cs="Times New Roman"/>
            <w:szCs w:val="24"/>
          </w:rPr>
          <w:t>https://doi.org/10.1017/s0003055417000041</w:t>
        </w:r>
      </w:hyperlink>
    </w:p>
    <w:p w:rsidR="0006795D" w:rsidRPr="0006795D" w:rsidRDefault="0006795D" w:rsidP="0006795D">
      <w:pPr>
        <w:shd w:val="clear" w:color="auto" w:fill="FFFFFF"/>
        <w:spacing w:after="0" w:line="550" w:lineRule="atLeast"/>
        <w:ind w:left="720" w:right="75" w:hanging="720"/>
        <w:rPr>
          <w:rFonts w:eastAsia="Times New Roman" w:cs="Times New Roman"/>
          <w:szCs w:val="24"/>
        </w:rPr>
      </w:pPr>
      <w:r w:rsidRPr="0006795D">
        <w:rPr>
          <w:rFonts w:eastAsia="Times New Roman" w:cs="Times New Roman"/>
          <w:szCs w:val="24"/>
        </w:rPr>
        <w:t>Epstein, L., &amp; Lindquist, S. A. (2017). </w:t>
      </w:r>
      <w:r w:rsidRPr="0006795D">
        <w:rPr>
          <w:rFonts w:eastAsia="Times New Roman" w:cs="Times New Roman"/>
          <w:i/>
          <w:iCs/>
          <w:szCs w:val="24"/>
        </w:rPr>
        <w:t>The Oxford handbook of U. S. Judicial behavior</w:t>
      </w:r>
      <w:r w:rsidRPr="0006795D">
        <w:rPr>
          <w:rFonts w:eastAsia="Times New Roman" w:cs="Times New Roman"/>
          <w:szCs w:val="24"/>
        </w:rPr>
        <w:t>. Oxford University Press.</w:t>
      </w:r>
    </w:p>
    <w:p w:rsidR="0006795D" w:rsidRPr="0006795D" w:rsidRDefault="0006795D" w:rsidP="0006795D">
      <w:pPr>
        <w:shd w:val="clear" w:color="auto" w:fill="FFFFFF"/>
        <w:spacing w:after="0" w:line="550" w:lineRule="atLeast"/>
        <w:ind w:left="720" w:right="75" w:hanging="720"/>
        <w:rPr>
          <w:rFonts w:eastAsia="Times New Roman" w:cs="Times New Roman"/>
          <w:szCs w:val="24"/>
        </w:rPr>
      </w:pPr>
      <w:r w:rsidRPr="0006795D">
        <w:rPr>
          <w:rFonts w:eastAsia="Times New Roman" w:cs="Times New Roman"/>
          <w:szCs w:val="24"/>
        </w:rPr>
        <w:t>Peters, C. S. (2017). Independence and accountability. </w:t>
      </w:r>
      <w:r w:rsidRPr="0006795D">
        <w:rPr>
          <w:rFonts w:eastAsia="Times New Roman" w:cs="Times New Roman"/>
          <w:i/>
          <w:iCs/>
          <w:szCs w:val="24"/>
        </w:rPr>
        <w:t>Regulating Judicial Elections</w:t>
      </w:r>
      <w:r w:rsidRPr="0006795D">
        <w:rPr>
          <w:rFonts w:eastAsia="Times New Roman" w:cs="Times New Roman"/>
          <w:szCs w:val="24"/>
        </w:rPr>
        <w:t>, 14-34. </w:t>
      </w:r>
      <w:hyperlink r:id="rId7" w:history="1">
        <w:r w:rsidRPr="0006795D">
          <w:rPr>
            <w:rFonts w:eastAsia="Times New Roman" w:cs="Times New Roman"/>
            <w:szCs w:val="24"/>
          </w:rPr>
          <w:t>https://doi.org/10.4324/9781315623573-2</w:t>
        </w:r>
      </w:hyperlink>
    </w:p>
    <w:p w:rsidR="0006795D" w:rsidRPr="0006795D" w:rsidRDefault="0006795D" w:rsidP="0006795D">
      <w:pPr>
        <w:shd w:val="clear" w:color="auto" w:fill="FFFFFF"/>
        <w:spacing w:after="0" w:line="550" w:lineRule="atLeast"/>
        <w:ind w:left="720" w:right="75" w:hanging="720"/>
        <w:rPr>
          <w:rFonts w:eastAsia="Times New Roman" w:cs="Times New Roman"/>
          <w:szCs w:val="24"/>
        </w:rPr>
      </w:pPr>
      <w:r w:rsidRPr="0006795D">
        <w:rPr>
          <w:rFonts w:eastAsia="Times New Roman" w:cs="Times New Roman"/>
          <w:szCs w:val="24"/>
        </w:rPr>
        <w:t>Webster, G. R. (2013). Reflections on current criteria to evaluate redistricting plans. </w:t>
      </w:r>
      <w:r w:rsidRPr="0006795D">
        <w:rPr>
          <w:rFonts w:eastAsia="Times New Roman" w:cs="Times New Roman"/>
          <w:i/>
          <w:iCs/>
          <w:szCs w:val="24"/>
        </w:rPr>
        <w:t>Political Geography</w:t>
      </w:r>
      <w:r w:rsidRPr="0006795D">
        <w:rPr>
          <w:rFonts w:eastAsia="Times New Roman" w:cs="Times New Roman"/>
          <w:szCs w:val="24"/>
        </w:rPr>
        <w:t>, </w:t>
      </w:r>
      <w:r w:rsidRPr="0006795D">
        <w:rPr>
          <w:rFonts w:eastAsia="Times New Roman" w:cs="Times New Roman"/>
          <w:i/>
          <w:iCs/>
          <w:szCs w:val="24"/>
        </w:rPr>
        <w:t>32</w:t>
      </w:r>
      <w:r w:rsidRPr="0006795D">
        <w:rPr>
          <w:rFonts w:eastAsia="Times New Roman" w:cs="Times New Roman"/>
          <w:szCs w:val="24"/>
        </w:rPr>
        <w:t>, 3-14. </w:t>
      </w:r>
      <w:hyperlink r:id="rId8" w:history="1">
        <w:r w:rsidRPr="0006795D">
          <w:rPr>
            <w:rFonts w:eastAsia="Times New Roman" w:cs="Times New Roman"/>
            <w:szCs w:val="24"/>
          </w:rPr>
          <w:t>https://doi.org/10.1016/j.polgeo.2012.10.004</w:t>
        </w:r>
      </w:hyperlink>
    </w:p>
    <w:p w:rsidR="0006795D" w:rsidRPr="0006795D" w:rsidRDefault="0006795D" w:rsidP="008C236B">
      <w:pPr>
        <w:rPr>
          <w:rFonts w:cs="Times New Roman"/>
          <w:szCs w:val="24"/>
        </w:rPr>
      </w:pPr>
    </w:p>
    <w:p w:rsidR="008C236B" w:rsidRPr="0006795D" w:rsidRDefault="008C236B" w:rsidP="001547DB">
      <w:pPr>
        <w:rPr>
          <w:rFonts w:cs="Times New Roman"/>
          <w:szCs w:val="24"/>
        </w:rPr>
      </w:pPr>
    </w:p>
    <w:p w:rsidR="001547DB" w:rsidRPr="0006795D" w:rsidRDefault="001547DB" w:rsidP="00543FBC">
      <w:pPr>
        <w:rPr>
          <w:rFonts w:cs="Times New Roman"/>
          <w:szCs w:val="24"/>
        </w:rPr>
      </w:pPr>
    </w:p>
    <w:sectPr w:rsidR="001547DB" w:rsidRPr="0006795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E2529" w:rsidRDefault="002E2529">
      <w:pPr>
        <w:spacing w:after="0" w:line="240" w:lineRule="auto"/>
      </w:pPr>
      <w:r>
        <w:separator/>
      </w:r>
    </w:p>
  </w:endnote>
  <w:endnote w:type="continuationSeparator" w:id="0">
    <w:p w:rsidR="002E2529" w:rsidRDefault="002E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E2529" w:rsidRDefault="002E2529">
      <w:pPr>
        <w:spacing w:after="0" w:line="240" w:lineRule="auto"/>
      </w:pPr>
      <w:r>
        <w:separator/>
      </w:r>
    </w:p>
  </w:footnote>
  <w:footnote w:type="continuationSeparator" w:id="0">
    <w:p w:rsidR="002E2529" w:rsidRDefault="002E2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0597777"/>
      <w:docPartObj>
        <w:docPartGallery w:val="Page Numbers (Top of Page)"/>
        <w:docPartUnique/>
      </w:docPartObj>
    </w:sdtPr>
    <w:sdtEndPr>
      <w:rPr>
        <w:noProof/>
      </w:rPr>
    </w:sdtEndPr>
    <w:sdtContent>
      <w:p w:rsidR="00543FBC" w:rsidRDefault="002E2529">
        <w:pPr>
          <w:pStyle w:val="Header"/>
          <w:jc w:val="right"/>
        </w:pPr>
        <w:r>
          <w:fldChar w:fldCharType="begin"/>
        </w:r>
        <w:r>
          <w:instrText xml:space="preserve"> PAGE   \* MERGEFORMAT </w:instrText>
        </w:r>
        <w:r>
          <w:fldChar w:fldCharType="separate"/>
        </w:r>
        <w:r w:rsidR="0006795D">
          <w:rPr>
            <w:noProof/>
          </w:rPr>
          <w:t>3</w:t>
        </w:r>
        <w:r>
          <w:rPr>
            <w:noProof/>
          </w:rPr>
          <w:fldChar w:fldCharType="end"/>
        </w:r>
      </w:p>
    </w:sdtContent>
  </w:sdt>
  <w:p w:rsidR="00543FBC" w:rsidRDefault="00543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BC"/>
    <w:rsid w:val="0006795D"/>
    <w:rsid w:val="001547DB"/>
    <w:rsid w:val="002E2529"/>
    <w:rsid w:val="00543FBC"/>
    <w:rsid w:val="0060395D"/>
    <w:rsid w:val="007F16C8"/>
    <w:rsid w:val="00806D8C"/>
    <w:rsid w:val="008C236B"/>
    <w:rsid w:val="00901A4A"/>
    <w:rsid w:val="00AD7547"/>
    <w:rsid w:val="00C51A4D"/>
    <w:rsid w:val="00C7143D"/>
    <w:rsid w:val="00C918D7"/>
    <w:rsid w:val="00D11E61"/>
    <w:rsid w:val="00D652C2"/>
    <w:rsid w:val="00E1172B"/>
    <w:rsid w:val="00FC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933E3-E772-4973-8C57-B562BF875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FBC"/>
  </w:style>
  <w:style w:type="paragraph" w:styleId="Footer">
    <w:name w:val="footer"/>
    <w:basedOn w:val="Normal"/>
    <w:link w:val="FooterChar"/>
    <w:uiPriority w:val="99"/>
    <w:unhideWhenUsed/>
    <w:rsid w:val="00543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FBC"/>
  </w:style>
  <w:style w:type="character" w:customStyle="1" w:styleId="gray">
    <w:name w:val="gray"/>
    <w:basedOn w:val="DefaultParagraphFont"/>
    <w:rsid w:val="0006795D"/>
  </w:style>
  <w:style w:type="paragraph" w:styleId="NormalWeb">
    <w:name w:val="Normal (Web)"/>
    <w:basedOn w:val="Normal"/>
    <w:uiPriority w:val="99"/>
    <w:semiHidden/>
    <w:unhideWhenUsed/>
    <w:rsid w:val="0006795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6795D"/>
    <w:rPr>
      <w:i/>
      <w:iCs/>
    </w:rPr>
  </w:style>
  <w:style w:type="character" w:styleId="Hyperlink">
    <w:name w:val="Hyperlink"/>
    <w:basedOn w:val="DefaultParagraphFont"/>
    <w:uiPriority w:val="99"/>
    <w:semiHidden/>
    <w:unhideWhenUsed/>
    <w:rsid w:val="000679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50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polgeo.2012.10.004" TargetMode="External" /><Relationship Id="rId3" Type="http://schemas.openxmlformats.org/officeDocument/2006/relationships/webSettings" Target="webSettings.xml" /><Relationship Id="rId7" Type="http://schemas.openxmlformats.org/officeDocument/2006/relationships/hyperlink" Target="https://doi.org/10.4324/9781315623573-2"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7/s0003055417000041"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2020-08-27T23:19:00Z</dcterms:created>
  <dcterms:modified xsi:type="dcterms:W3CDTF">2020-08-27T23:19:00Z</dcterms:modified>
</cp:coreProperties>
</file>